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DB" w:rsidRPr="00E503C6" w:rsidRDefault="002773DB" w:rsidP="00277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3C6">
        <w:rPr>
          <w:rFonts w:ascii="Times New Roman" w:hAnsi="Times New Roman" w:cs="Times New Roman"/>
          <w:b/>
          <w:sz w:val="28"/>
          <w:szCs w:val="28"/>
        </w:rPr>
        <w:t xml:space="preserve">Терминология (глоссарий), </w:t>
      </w:r>
    </w:p>
    <w:p w:rsidR="002773DB" w:rsidRPr="00E503C6" w:rsidRDefault="002773DB" w:rsidP="00277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503C6">
        <w:rPr>
          <w:rFonts w:ascii="Times New Roman" w:hAnsi="Times New Roman" w:cs="Times New Roman"/>
          <w:b/>
          <w:sz w:val="28"/>
          <w:szCs w:val="28"/>
        </w:rPr>
        <w:t>используемая</w:t>
      </w:r>
      <w:proofErr w:type="gramEnd"/>
      <w:r w:rsidRPr="00E503C6">
        <w:rPr>
          <w:rFonts w:ascii="Times New Roman" w:hAnsi="Times New Roman" w:cs="Times New Roman"/>
          <w:b/>
          <w:sz w:val="28"/>
          <w:szCs w:val="28"/>
        </w:rPr>
        <w:t xml:space="preserve"> при подготовке вопросов и задач квалификационного экзамена </w:t>
      </w:r>
    </w:p>
    <w:p w:rsidR="002773DB" w:rsidRDefault="002773DB" w:rsidP="00277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3C6">
        <w:rPr>
          <w:rFonts w:ascii="Times New Roman" w:hAnsi="Times New Roman" w:cs="Times New Roman"/>
          <w:b/>
          <w:sz w:val="28"/>
          <w:szCs w:val="28"/>
        </w:rPr>
        <w:t xml:space="preserve">по направлению оценочной деятельности </w:t>
      </w:r>
      <w:r w:rsidRPr="00AF13A9">
        <w:rPr>
          <w:rFonts w:ascii="Times New Roman" w:hAnsi="Times New Roman" w:cs="Times New Roman"/>
          <w:b/>
          <w:sz w:val="28"/>
          <w:szCs w:val="28"/>
        </w:rPr>
        <w:t>«Оценка бизнеса»</w:t>
      </w:r>
    </w:p>
    <w:p w:rsidR="002773DB" w:rsidRDefault="002773D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8"/>
        <w:gridCol w:w="3084"/>
        <w:gridCol w:w="3448"/>
        <w:gridCol w:w="5266"/>
      </w:tblGrid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773DB" w:rsidRPr="002773DB" w:rsidRDefault="002773DB" w:rsidP="002773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Термин</w:t>
            </w:r>
          </w:p>
        </w:tc>
        <w:tc>
          <w:tcPr>
            <w:tcW w:w="3696" w:type="dxa"/>
          </w:tcPr>
          <w:p w:rsidR="002773DB" w:rsidRDefault="002773DB" w:rsidP="002773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773DB" w:rsidRPr="002773DB" w:rsidRDefault="002773DB" w:rsidP="002773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Синоним термина/английское обозначение </w:t>
            </w:r>
          </w:p>
          <w:p w:rsidR="002773DB" w:rsidRPr="002773DB" w:rsidRDefault="002773DB" w:rsidP="002773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2773DB" w:rsidRDefault="002773DB" w:rsidP="002773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773DB" w:rsidRPr="002773DB" w:rsidRDefault="002773DB" w:rsidP="002773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Определение</w:t>
            </w:r>
          </w:p>
          <w:p w:rsidR="002773DB" w:rsidRPr="002773DB" w:rsidRDefault="002773DB" w:rsidP="002773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2773DB" w:rsidRDefault="002773DB" w:rsidP="002773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773DB" w:rsidRPr="002773DB" w:rsidRDefault="002773DB" w:rsidP="002773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Комментарий/формула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CAPM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ценообразования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активов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Capital asset pricing model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CAPM</w:t>
            </w:r>
            <w:r w:rsidRPr="008C2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=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безрисковая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ставка + коэффициент бета× рыночная премия+ премии за риск (для малых компаний, специфический для компании)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CFF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Денежный поток от финансовой деятельности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from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financing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activities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CFF = Поток от эмиссии акций - Выкуп акций + Новые займы - Погашения займов - Выплаты дивидендов (упрощенно)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CFI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Денежный поток от инвестиционной деятельности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from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investing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activities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CFI = Поток от продажи финансовых активов и ОС - Инвестиции в ОС - Покупка финансовых активов (упрощенно)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CFO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Денежный поток от операционной деятельности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from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operating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activities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CFO = чистый денежный поток от операций после уплаты налогов и процентов  = Чистая прибыль + Амортизация - Изменение оборотного капитала (упрощенно)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EBIT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Прибыль до вычета процентов и налога на прибыль </w:t>
            </w:r>
          </w:p>
          <w:p w:rsid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Earnings before interest and tax</w:t>
            </w:r>
          </w:p>
          <w:p w:rsidR="0097085F" w:rsidRPr="0097085F" w:rsidRDefault="0097085F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EBIT = Выручка - Себестоимость - Коммерческие и управленческие расходы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EBITDA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Прибыль до вычета процентов, налога на прибыль и амортизации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Earnings before interest, tax, depreciation and amortization 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EBITDA = EBIT + Амортизация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EPS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Чистая прибыль на одну акцию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Earnings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share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EPS = (Чистая прибыль - Дивиденды на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привилегировнные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акции) / Средневзвешенное число обыкновенных акций, находившихся в обращении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EV/EBITDA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Business enterprise value to Earnings before interest, tax, depreciation and amortization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Мультипликатор рыночной стоимости инвестированного капитала к прибыли до вычета процентов, налога на прибыль и амортизации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EV/</w:t>
            </w:r>
            <w:proofErr w:type="spellStart"/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Sales</w:t>
            </w:r>
            <w:proofErr w:type="spellEnd"/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EV /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Выручка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Enterprise value to Sales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Мультипликатор рыночной стоимости инвестированного капитала к выручке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EV/Объемы запасов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Мультипликатор отношения рыночной стоимости бизнеса к объему запасов в натуральном выражении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IRR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Внутренняя норма доходности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Internal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rate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return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 xml:space="preserve">0= -Первоначалые инвестиции+ 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</w:rPr>
                      <m:t>t=1</m:t>
                    </m:r>
                  </m:sub>
                  <m:sup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</w:rPr>
                          <m:t>CF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(1+IRR)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NOPAT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Чистая операционная прибыль после налогов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Net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operating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profit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after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tax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NOPAT = EBIT*(1-Налог на прибыль)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NPV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Чистый приведенный доход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50"/>
            </w:tblGrid>
            <w:tr w:rsidR="002773DB" w:rsidRPr="008C28DA" w:rsidTr="00F67324">
              <w:trPr>
                <w:trHeight w:val="300"/>
                <w:tblCellSpacing w:w="0" w:type="dxa"/>
              </w:trPr>
              <w:tc>
                <w:tcPr>
                  <w:tcW w:w="5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773DB" w:rsidRPr="008C28DA" w:rsidRDefault="002773DB" w:rsidP="002773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C28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NPV</w:t>
                  </w:r>
                  <w:r w:rsidRPr="008C28D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= - Первоначальные инвестиции + </w:t>
                  </w:r>
                  <m:oMath>
                    <m:nary>
                      <m:naryPr>
                        <m:chr m:val="∑"/>
                        <m:grow m:val="1"/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t=1</m:t>
                        </m:r>
                      </m:sub>
                      <m:sup>
                        <m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m:t>n</m:t>
                        </m:r>
                      </m:sup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CF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color w:val="000000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sz w:val="24"/>
                                    <w:szCs w:val="24"/>
                                  </w:rPr>
                                  <m:t>(1+ставка дисконтироавния)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sz w:val="24"/>
                                    <w:szCs w:val="24"/>
                                    <w:lang w:val="en-US"/>
                                  </w:rPr>
                                  <m:t>t</m:t>
                                </m:r>
                              </m:sup>
                            </m:sSup>
                          </m:den>
                        </m:f>
                      </m:e>
                    </m:nary>
                  </m:oMath>
                </w:p>
              </w:tc>
            </w:tr>
          </w:tbl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P/BV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Price to Book Value Multiple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Мультипликатор отношения рыночной стоимости собственного капитала к балансовой стоимости собственного капитала, Цена / Балансовая стоимость собственного капитала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P/E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Price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Earnings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Multiple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Мультипликатор рыночной стоимости собственного капитала к чистой прибыли, Цена / Чистая прибыль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ROE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Рентабельность собственного капитала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Return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Equity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ROE = (Чистая прибыль) / (Собственный капитал)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ROE = (Чистая прибыль) / (Совокупные активы) × (Совокупные активы) / (Собственный капитал)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proofErr w:type="gramEnd"/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ОА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Рентабельность активов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Return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Assets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ROA = (Чистая прибыль) / (Совокупные активы)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Безрисковая</w:t>
            </w:r>
            <w:proofErr w:type="spellEnd"/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ставка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Risk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free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rate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Процентная ставка доходности, которую инвестор может получить на свой капитал, при вложении в наиболее ликвидные активы, характеризующиеся отсутствием или минимальным возможным риском невозвращения вложенных средств.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Бета актива</w:t>
            </w: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Мера риска</w:t>
            </w:r>
          </w:p>
          <w:p w:rsidR="005A645E" w:rsidRDefault="005A645E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45E" w:rsidRPr="008C28DA" w:rsidRDefault="005A645E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Ковариация актива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рыночным портфелем/Дисперсия рыночного портфеля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Бета </w:t>
            </w:r>
            <w:proofErr w:type="spellStart"/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безрычаговая</w:t>
            </w:r>
            <w:proofErr w:type="spellEnd"/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Бета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безрычажная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бета без учета финансового рычага,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бездолговая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бета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Beta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unlevered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Бета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безрычаговая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Бета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рычаговая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/[1+(1</w:t>
            </w:r>
            <w:r w:rsidRPr="008C28DA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˗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налоговая ставка</w:t>
            </w:r>
            <w:proofErr w:type="gram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)(</w:t>
            </w:r>
            <w:proofErr w:type="gram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долг/собственный капитал)]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Бета </w:t>
            </w:r>
            <w:proofErr w:type="spellStart"/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рычаговая</w:t>
            </w:r>
            <w:proofErr w:type="spellEnd"/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Бета рычажная, бета c учетом финансового рычага, долговая бета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Beta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levered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Бета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рычаговая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Безрычаговый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коэффициент бета×[1+(1</w:t>
            </w:r>
            <w:r w:rsidRPr="008C28DA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˗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налоговая ставка</w:t>
            </w:r>
            <w:proofErr w:type="gram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)(</w:t>
            </w:r>
            <w:proofErr w:type="gram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долг/собственный капитал)]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Валовая прибыль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Разница между выручкой и себестоимостью реализованной продукции или услуги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Взаимозависимые активы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Contributory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assets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Активы (материальные и нематериальные), участвующие в формировании денежного потока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Денежный поток на инвестированный капитал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Денежный поток на фирму, Денежный поток для всего инвестированного капитала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Free cash flows to firm (FCFF) 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FCFF = EBIT*(1-Налоговая ставка) + Амортизация - Капитальные затраты - Изменение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неденежного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оборотного капитала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FCFF = CFO – Капитальные затраты + Расходы на выплату процентов*(1-налоговая ставка)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Денежный поток на собственный капитал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Free cash flows to equity (FCFE)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FCFE = Чистая прибыль + Амортизация – Капитальные затраты – Изменение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неденежного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оборотного капитала + (Новый долг – Погашение долга)</w:t>
            </w:r>
          </w:p>
        </w:tc>
      </w:tr>
      <w:tr w:rsidR="002773DB" w:rsidTr="00895AA4">
        <w:tc>
          <w:tcPr>
            <w:tcW w:w="3696" w:type="dxa"/>
            <w:vAlign w:val="center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Дисконтирование на конец периода</w:t>
            </w:r>
          </w:p>
        </w:tc>
        <w:tc>
          <w:tcPr>
            <w:tcW w:w="3696" w:type="dxa"/>
            <w:vAlign w:val="center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position w:val="-30"/>
                <w:sz w:val="24"/>
                <w:szCs w:val="24"/>
              </w:rPr>
              <w:object w:dxaOrig="1060" w:dyaOrig="680" w14:anchorId="1DC7C9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6pt;height:33.6pt" o:ole="">
                  <v:imagedata r:id="rId7" o:title=""/>
                </v:shape>
                <o:OLEObject Type="Embed" ProgID="Equation.3" ShapeID="_x0000_i1025" DrawAspect="Content" ObjectID="_1558532200" r:id="rId8"/>
              </w:objec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где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disc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ставка дисконтирования,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номер периода.</w:t>
            </w:r>
          </w:p>
        </w:tc>
      </w:tr>
      <w:tr w:rsidR="002773DB" w:rsidTr="00895AA4">
        <w:tc>
          <w:tcPr>
            <w:tcW w:w="3696" w:type="dxa"/>
            <w:vAlign w:val="center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Дисконтирование на начало периода</w:t>
            </w:r>
          </w:p>
        </w:tc>
        <w:tc>
          <w:tcPr>
            <w:tcW w:w="3696" w:type="dxa"/>
            <w:vAlign w:val="center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position w:val="-30"/>
                <w:sz w:val="24"/>
                <w:szCs w:val="24"/>
              </w:rPr>
              <w:object w:dxaOrig="1200" w:dyaOrig="680" w14:anchorId="26393FB4">
                <v:shape id="_x0000_i1026" type="#_x0000_t75" style="width:60pt;height:33.6pt" o:ole="">
                  <v:imagedata r:id="rId9" o:title=""/>
                </v:shape>
                <o:OLEObject Type="Embed" ProgID="Equation.3" ShapeID="_x0000_i1026" DrawAspect="Content" ObjectID="_1558532201" r:id="rId10"/>
              </w:objec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где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disc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ставка дисконтирования,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n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номер периода.</w:t>
            </w:r>
          </w:p>
        </w:tc>
      </w:tr>
      <w:tr w:rsidR="002773DB" w:rsidTr="00895AA4">
        <w:tc>
          <w:tcPr>
            <w:tcW w:w="3696" w:type="dxa"/>
            <w:vAlign w:val="center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Дисконтирование на середину периода</w:t>
            </w:r>
          </w:p>
        </w:tc>
        <w:tc>
          <w:tcPr>
            <w:tcW w:w="3696" w:type="dxa"/>
            <w:vAlign w:val="center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position w:val="-30"/>
                <w:sz w:val="24"/>
                <w:szCs w:val="24"/>
              </w:rPr>
              <w:object w:dxaOrig="1320" w:dyaOrig="680" w14:anchorId="445B4A26">
                <v:shape id="_x0000_i1027" type="#_x0000_t75" style="width:66.4pt;height:33.6pt" o:ole="">
                  <v:imagedata r:id="rId11" o:title=""/>
                </v:shape>
                <o:OLEObject Type="Embed" ProgID="Equation.3" ShapeID="_x0000_i1027" DrawAspect="Content" ObjectID="_1558532202" r:id="rId12"/>
              </w:objec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где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disc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ставка дисконтирования,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номер периода.</w:t>
            </w:r>
          </w:p>
        </w:tc>
      </w:tr>
      <w:tr w:rsidR="002773DB" w:rsidTr="00895AA4">
        <w:tc>
          <w:tcPr>
            <w:tcW w:w="3696" w:type="dxa"/>
            <w:vAlign w:val="center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Дисконтный множитель (фактор дисконтирования)</w:t>
            </w:r>
          </w:p>
        </w:tc>
        <w:tc>
          <w:tcPr>
            <w:tcW w:w="3696" w:type="dxa"/>
            <w:vAlign w:val="center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дисконтирования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Коэффициент, умножение на который величины денежного потока будущего периода дает его текущую стоимость.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Интервальные мультипликаторы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Доходные мультипликаторы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Коэффициент абсолютной ликвидности 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абсолютной ликвидности =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(денежные средства + краткосрочные финансовые вложения) / краткосрочные обязательства 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оттока клиентской базы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выбытия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hurn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rate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клиентов, выходящих из состава клиентской базы за период (к общему количеству клиентов на начало периода)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выбытия = Количество единиц, выбывших в течение периода / Количество активных единиц на начало периода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Коэффициент покрытия 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текущей ликвидности, коэффициент общей ликвидности, общий коэффициент покрытия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покрытия =</w:t>
            </w: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текущие активы / краткосрочные обязательства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Лицензиар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Сторона, передающая в соответствии с лицензионным соглашением лицензиату право на использование объекта лицензии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Лицензиат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Сторона в лицензионном договоре, приобретающая у собственника изобретения, патента, производственных и коммерческих знаний </w:t>
            </w: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(лицензиара) лицензию </w:t>
            </w:r>
            <w:proofErr w:type="gramStart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право их</w:t>
            </w:r>
            <w:proofErr w:type="gramEnd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Метод дисконтированных денежных потоков 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дисконтированных денежных потоков основывается на предпосылке, что стоимость бизнеса (предприятия) равна текущей стоимости будущих  денежных потоков, которые будут получены в условиях меняющихся потоков дохода.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= Сумма текущих стоимостей денежных потоков прогнозного периода + текущая стоимость терминальной стоимости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капитализации доходов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капитализации доходов основывается на предпосылке, что стоимость бизнеса (предприятия) равна текущей стоимости будущих доходов, которые будут получены  в условиях стабильного потока доходов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= Доход / Ставка капитализации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 ликвидационной стоимости 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Чистая выручка, получаемая после реализации активов организации с учетом погашения имеющейся задолженности и затрат, связанных с реализацией активов и прекращением деятельности организации, ведущей бизнес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рынко</w:t>
            </w:r>
            <w:proofErr w:type="gramStart"/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капитала 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</w:t>
            </w:r>
            <w:proofErr w:type="gramEnd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информации о ценах акций аналогичных компаний открытого типа на мировых фондовых рынках.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Метод скорректированных чистых активов 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метода чистых активов стоимость определяется как разница между величиной рыночной стоимости активов и обязательств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сравнимых сделок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 сделок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</w:t>
            </w:r>
            <w:proofErr w:type="gramEnd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информации о продажах пакетов акций или компании целиком</w:t>
            </w:r>
            <w:r w:rsidRPr="008C28DA">
              <w:t xml:space="preserve"> </w:t>
            </w: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(слияния/присоединения</w:t>
            </w:r>
            <w:r w:rsidRPr="008C28DA">
              <w:t>).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освобождения от роялти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</w:t>
            </w:r>
            <w:proofErr w:type="gramEnd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анализе потока доходов в случае заключения лицензионного договора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преимущества в себестоимости</w:t>
            </w:r>
          </w:p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</w:t>
            </w:r>
            <w:proofErr w:type="gramEnd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анализе величины экономии на затратах в результате использования НМА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избыточных прибылей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Избыточные прибыли предприятию приносят неотраженные на балансе нематериальные активы, обеспечивающие доходность выше среднеотраслевого уровня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стоимости замещения (НМА)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затрат на создание НМА по стоимости замещения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восстановительной стоимости (НМА)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затрат на создание НМА по стоимости воспроизводства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Гордона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Модель Гордона используется для оценки фирмы, которая находится в устойчивом состоянии. Расчет стоимости основан на капитализации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дохода в последний год прогнозного периода или в первый год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постпрогнозного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периода. Как правило, соблюдается равенство величины капиталовложений и амортизации при построении денежного потока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Моментные мультипликаторы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Балансовые мультипликаторы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Оборачиваемость активов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Коэффициент оборачиваемости активов =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Выручка/Среднегодовая величина активов (величина активов на конец периода)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Оборачиваемость в днях = 365 (360) /Коэффициент оборачиваемости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Операционная прибыль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Прибыль от продаж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Прибыль от основной (обычной) деятельности, равная разности между выручкой и расходами по основной деятельности (в последние включаются прямые и операционные расходы);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разница между валовой прибылью и операционными расходами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Премия за контроль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premium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Стоимостное выражение преимущества, связанного с владением контрольным пакетом акций 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Премия за риск инвестирования в акции</w:t>
            </w:r>
          </w:p>
        </w:tc>
        <w:tc>
          <w:tcPr>
            <w:tcW w:w="3696" w:type="dxa"/>
          </w:tcPr>
          <w:p w:rsid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Equity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risk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premium</w:t>
            </w:r>
            <w:proofErr w:type="spellEnd"/>
          </w:p>
          <w:p w:rsidR="005A645E" w:rsidRDefault="005A645E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645E" w:rsidRPr="008C28DA" w:rsidRDefault="005A645E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Прибыль до налогообложения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Прибыль до налогообложения = EBIT - Финансовые расходы 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>Рентабельность продаж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Маржинальность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продаж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Sales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margin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Рентабельность продаж = Прибыль от продаж/Выручка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Рентабельность продаж по чистой прибыли 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Чистая рентабельность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income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margin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Рентабельность продаж по чистой прибыли = Чистая прибыль/Выручка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Рыночная капитализация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Market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capitalisation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(MC)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Рыночная стоимость всех выпущенных в обращение акций компании, рассчитанная на основе котировок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Рыночная стоимость инвестированного капитала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Business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enterprise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Стоимость инвестированного капитала = Стоимость собственного капитал + Чистый долг 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Стоимость инвестированного капитала=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/>
                      </w:rPr>
                      <m:t>t=1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</w:rPr>
                          <m:t>FCFF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</w:rPr>
                          <m:t>(1+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WACC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t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</w:rPr>
                          <m:t>)</m:t>
                        </m:r>
                      </m:den>
                    </m:f>
                  </m:e>
                </m:nary>
              </m:oMath>
            </m:oMathPara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Стоимость инвестированного капитала в рамках модели постоянного роста =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FCFF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/(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WACC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темп роста  денежного потока) 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Рыночная стоимость собственного капитала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Equity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Стоимость собственного капитала = Стоимость инвестированного капитала - Чистый долг 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Стоимость собственного капитала=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/>
                      </w:rPr>
                      <m:t>t=1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</w:rPr>
                          <m:t>FCF</m:t>
                        </m:r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en-US"/>
                          </w:rPr>
                          <m:t>E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</w:rPr>
                          <m:t>(1+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стоимость собственного капитала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t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</w:rPr>
                          <m:t>)</m:t>
                        </m:r>
                      </m:den>
                    </m:f>
                  </m:e>
                </m:nary>
              </m:oMath>
            </m:oMathPara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Стоимость собственного капитала в рамках модели постоянного роста =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FCFE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/(Стоимость собственного капитала – темп роста ожидаемого денежного потока)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Скидка за недостаток ликвидности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Discount for the lack of liquidity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Величина, на которую уменьшается стоимость для </w:t>
            </w: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отражения недостаточной ликвидности объекта оценки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Скидка за неконтрольный характер пакета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DLOC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DLOC = 1 - (1 / (1+Премия за контроль))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Собственный оборотный капитал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working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capital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Собственный оборотный капитал = Дебиторская задолженность + Запасы - Кредиторская задолженность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Средневзвешенная стоимость капитала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инвестированного капитала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Cost of invested capital, WACC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WACC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 Стоимость собственного капитала× [собственный капитал/(долг + собственный капитал)] + стоимость долга × [долг/(долг + собственный капитал)]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Ставка дисконтирования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Discount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rate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Процентная ставка, используемая для приведения прогнозируемых денежных потоков (доходов и расходов) к заданному моменту времени, например, к дате оценки.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долга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заемного капитала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Cost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debt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собственного капитала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Cost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equity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Доходность, которую инвесторы ожидают от инвестиций в собственный капитал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Терминальная стоимость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Terminal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Value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(TV) Реверсия,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постпрогнозная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стоимость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денежных потоков в терминальном периоде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Терминальный период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Постпрогнозный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период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Terminal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</w:t>
            </w:r>
            <w:proofErr w:type="spellEnd"/>
          </w:p>
        </w:tc>
        <w:tc>
          <w:tcPr>
            <w:tcW w:w="3697" w:type="dxa"/>
          </w:tcPr>
          <w:p w:rsidR="002773DB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Период, следующий за последним прогнозным периодом, когда деятельность компании стабилизируется</w:t>
            </w:r>
            <w:bookmarkStart w:id="0" w:name="_GoBack"/>
            <w:bookmarkEnd w:id="0"/>
          </w:p>
          <w:p w:rsidR="005A645E" w:rsidRPr="008C28DA" w:rsidRDefault="005A645E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Терминальный поток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Денежный поток в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постпрогнозном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периоде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Terminal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Flow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оборотного капитала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оборачиваемости</w:t>
            </w:r>
          </w:p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Working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capital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cycle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Коэффициент оборачиваемости дебиторской задолженности =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Выручка/Средний остаток дебиторской задолженности (величина дебиторской задолженности на конец периода)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Коэффициент оборачиваемости запасов =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Себестоимость/Средний остаток запасов (величина запасов на конец периода)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Коэффициент оборачиваемости кредиторской задолженности = 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Себестоимость/Средний остаток кредиторской задолженности (величина кредиторской задолженности на конец периода)</w:t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Оборачиваемость в днях = 365 (360) /Коэффициент оборачиваемости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Чистая прибыль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Чистая прибыль = Прибыль до налогообложения - Налог на прибыль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Чистые активы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Величина, определяемая путем вычитания из суммы активов организации, суммы ее обязательств.</w:t>
            </w:r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100003"/>
            <w:bookmarkEnd w:id="1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огласно</w:t>
            </w:r>
            <w:proofErr w:type="gramStart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Минфина России </w:t>
            </w: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от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.08.</w:t>
            </w: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2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№84н «Об утверждении порядка определения стоимости чистых активов»</w:t>
            </w:r>
          </w:p>
        </w:tc>
      </w:tr>
      <w:tr w:rsidR="002773DB" w:rsidTr="002773DB">
        <w:tc>
          <w:tcPr>
            <w:tcW w:w="3696" w:type="dxa"/>
          </w:tcPr>
          <w:p w:rsidR="002773DB" w:rsidRPr="002773D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Чистый долг</w:t>
            </w:r>
          </w:p>
        </w:tc>
        <w:tc>
          <w:tcPr>
            <w:tcW w:w="3696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</w:t>
            </w:r>
            <w:proofErr w:type="spellEnd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debt</w:t>
            </w:r>
            <w:proofErr w:type="spellEnd"/>
          </w:p>
        </w:tc>
        <w:tc>
          <w:tcPr>
            <w:tcW w:w="3697" w:type="dxa"/>
          </w:tcPr>
          <w:p w:rsidR="002773DB" w:rsidRPr="008C28DA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2773DB" w:rsidRPr="004E572B" w:rsidRDefault="002773DB" w:rsidP="002773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Чистый долг = Долгосрочные и краткосрочные обязательства - Денежные средства и их эквиваленты</w:t>
            </w:r>
          </w:p>
        </w:tc>
      </w:tr>
    </w:tbl>
    <w:p w:rsidR="002773DB" w:rsidRDefault="002773DB" w:rsidP="0097085F"/>
    <w:sectPr w:rsidR="002773DB" w:rsidSect="0097085F">
      <w:headerReference w:type="default" r:id="rId13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6D5" w:rsidRDefault="006976D5" w:rsidP="0097085F">
      <w:pPr>
        <w:spacing w:after="0" w:line="240" w:lineRule="auto"/>
      </w:pPr>
      <w:r>
        <w:separator/>
      </w:r>
    </w:p>
  </w:endnote>
  <w:endnote w:type="continuationSeparator" w:id="0">
    <w:p w:rsidR="006976D5" w:rsidRDefault="006976D5" w:rsidP="0097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6D5" w:rsidRDefault="006976D5" w:rsidP="0097085F">
      <w:pPr>
        <w:spacing w:after="0" w:line="240" w:lineRule="auto"/>
      </w:pPr>
      <w:r>
        <w:separator/>
      </w:r>
    </w:p>
  </w:footnote>
  <w:footnote w:type="continuationSeparator" w:id="0">
    <w:p w:rsidR="006976D5" w:rsidRDefault="006976D5" w:rsidP="00970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9798898"/>
      <w:docPartObj>
        <w:docPartGallery w:val="Page Numbers (Top of Page)"/>
        <w:docPartUnique/>
      </w:docPartObj>
    </w:sdtPr>
    <w:sdtEndPr/>
    <w:sdtContent>
      <w:p w:rsidR="0097085F" w:rsidRDefault="009708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45E">
          <w:rPr>
            <w:noProof/>
          </w:rPr>
          <w:t>11</w:t>
        </w:r>
        <w:r>
          <w:fldChar w:fldCharType="end"/>
        </w:r>
      </w:p>
    </w:sdtContent>
  </w:sdt>
  <w:p w:rsidR="0097085F" w:rsidRDefault="0097085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3DB"/>
    <w:rsid w:val="00165DC9"/>
    <w:rsid w:val="00197363"/>
    <w:rsid w:val="002773DB"/>
    <w:rsid w:val="0055284B"/>
    <w:rsid w:val="005A645E"/>
    <w:rsid w:val="006976D5"/>
    <w:rsid w:val="0097085F"/>
    <w:rsid w:val="00A100C7"/>
    <w:rsid w:val="00AC7FD8"/>
    <w:rsid w:val="00B872C4"/>
    <w:rsid w:val="00B907EB"/>
    <w:rsid w:val="00BC46F5"/>
    <w:rsid w:val="00C27992"/>
    <w:rsid w:val="00CB0EE0"/>
    <w:rsid w:val="00D8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7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3D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70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085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70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085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7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3D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70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085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70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085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12614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Image-ПК</dc:creator>
  <cp:keywords/>
  <dc:description/>
  <cp:lastModifiedBy>Image-ПК</cp:lastModifiedBy>
  <cp:revision>4</cp:revision>
  <dcterms:created xsi:type="dcterms:W3CDTF">2017-06-09T13:10:00Z</dcterms:created>
  <dcterms:modified xsi:type="dcterms:W3CDTF">2017-06-09T13:50:00Z</dcterms:modified>
</cp:coreProperties>
</file>